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Periphery of the Periphery: World Systems Theory and State Responses to Migration in Bangladesh</w:t>
      </w:r>
    </w:p>
    <w:p w:rsidR="00000000" w:rsidDel="00000000" w:rsidP="00000000" w:rsidRDefault="00000000" w:rsidRPr="00000000" w14:paraId="00000002">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Diza Sharma (8th May 2026)</w:t>
      </w:r>
    </w:p>
    <w:p w:rsidR="00000000" w:rsidDel="00000000" w:rsidP="00000000" w:rsidRDefault="00000000" w:rsidRPr="00000000" w14:paraId="00000003">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 </w:t>
      </w:r>
    </w:p>
    <w:p w:rsidR="00000000" w:rsidDel="00000000" w:rsidP="00000000" w:rsidRDefault="00000000" w:rsidRPr="00000000" w14:paraId="00000004">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change is on the rise. Overall climate emissions </w:t>
      </w:r>
      <w:r w:rsidDel="00000000" w:rsidR="00000000" w:rsidRPr="00000000">
        <w:rPr>
          <w:rFonts w:ascii="Times New Roman" w:cs="Times New Roman" w:eastAsia="Times New Roman" w:hAnsi="Times New Roman"/>
          <w:rtl w:val="0"/>
        </w:rPr>
        <w:t xml:space="preserve">continue to rise</w:t>
      </w:r>
      <w:r w:rsidDel="00000000" w:rsidR="00000000" w:rsidRPr="00000000">
        <w:rPr>
          <w:rFonts w:ascii="Times New Roman" w:cs="Times New Roman" w:eastAsia="Times New Roman" w:hAnsi="Times New Roman"/>
          <w:rtl w:val="0"/>
        </w:rPr>
        <w:t xml:space="preserve"> and have reached 5.3 billion tonnes as of January 2026, and the world is getting alarmingly close to the 1.5 degrees target set by the </w:t>
      </w:r>
      <w:r w:rsidDel="00000000" w:rsidR="00000000" w:rsidRPr="00000000">
        <w:rPr>
          <w:rFonts w:ascii="Times New Roman" w:cs="Times New Roman" w:eastAsia="Times New Roman" w:hAnsi="Times New Roman"/>
          <w:rtl w:val="0"/>
        </w:rPr>
        <w:t xml:space="preserve">Paris agreement</w:t>
      </w:r>
      <w:r w:rsidDel="00000000" w:rsidR="00000000" w:rsidRPr="00000000">
        <w:rPr>
          <w:rFonts w:ascii="Times New Roman" w:cs="Times New Roman" w:eastAsia="Times New Roman" w:hAnsi="Times New Roman"/>
          <w:rtl w:val="0"/>
        </w:rPr>
        <w:t xml:space="preserve">, almost a decade ago (Climate Trace, 2026); (Yale Environment, 2026). Despite decades of international cooperation on climate change, impacts continue to worsen, reaching the most vulnerable communities. This paper argues state responses to climate displacement are not just the product of authoritarian governments or poor policy design. They are produced by a world system that exports environmental harm to its periphery while withholding the resources necessary to manage its consequences.</w:t>
      </w:r>
    </w:p>
    <w:p w:rsidR="00000000" w:rsidDel="00000000" w:rsidP="00000000" w:rsidRDefault="00000000" w:rsidRPr="00000000" w14:paraId="00000005">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develop this argument in three stages. First, using Wallerstein's (1974) world systems theory and the ecologically unequal exchange framework (Jorgenson &amp; Clark, 2009), we establish the differential distribution of climate harm between core and peripheral states. Then using Cox's (1981) problem-solving and critical theory frameworks, we argue that climate governance institutions operate within problem solving theory (Bernstein, 2001). Third, the exclusion of climate migration from international legal frameworks (Gemenne, 2011) shifts the burden of climate migration onto peripheral states that are constrained by resources and position in the world order. </w:t>
      </w:r>
    </w:p>
    <w:p w:rsidR="00000000" w:rsidDel="00000000" w:rsidP="00000000" w:rsidRDefault="00000000" w:rsidRPr="00000000" w14:paraId="00000006">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apply this framework to the case of Bangladesh because of its extreme climate vulnerability,  weak institutions and displacement issues. We look at the rural coastal poor, urban slum migrants, and Rohingya refugees, to develop the concept of the periphery of the periphery to show how state responses are not uniform but corresponding to each community's distance from political power.</w:t>
      </w:r>
    </w:p>
    <w:p w:rsidR="00000000" w:rsidDel="00000000" w:rsidP="00000000" w:rsidRDefault="00000000" w:rsidRPr="00000000" w14:paraId="00000007">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Literature Review </w:t>
      </w:r>
    </w:p>
    <w:p w:rsidR="00000000" w:rsidDel="00000000" w:rsidP="00000000" w:rsidRDefault="00000000" w:rsidRPr="00000000" w14:paraId="00000008">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Wallerstein (1974) highlights the unequal division of labour in our world system that leads to the creation of a core, a periphery and a semiperiphery in the world. The core wealthy nations control profitable activities involving finished goods, exporting high value services, and controlling financial institutions, while the peripheral nations control the less profitable, raw material producing activities (Wallerstein, 1974). While nations move up the global hierarchy of wealth and power, the underlying relations of extraction, production and consumption between core and peripheral nations remain the same (Roberts &amp; Parks ,2007). </w:t>
      </w:r>
    </w:p>
    <w:p w:rsidR="00000000" w:rsidDel="00000000" w:rsidP="00000000" w:rsidRDefault="00000000" w:rsidRPr="00000000" w14:paraId="00000009">
      <w:pPr>
        <w:spacing w:after="200" w:before="20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In the environmental context the theory of ecologically unequal exchange states that economically developed and militarily powerful, or core countries externalize their environmental costs to peripheral countries, which increase environmental degradation within their borders while suppressing domestic levels of resource consumption. This pushes peripheral countries into exploitative market relations with unevenly distributed environmental harms borne by their citizens (Jorgenson &amp; Clark, 2009). State interactions dominate Wallerstein's world systems theory, but it fails to address why core states behave the way they do, and why peripheral states are not able to break out of this cycle of environmental degradation. </w:t>
      </w:r>
      <w:r w:rsidDel="00000000" w:rsidR="00000000" w:rsidRPr="00000000">
        <w:rPr>
          <w:rtl w:val="0"/>
        </w:rPr>
      </w:r>
    </w:p>
    <w:p w:rsidR="00000000" w:rsidDel="00000000" w:rsidP="00000000" w:rsidRDefault="00000000" w:rsidRPr="00000000" w14:paraId="0000000A">
      <w:pPr>
        <w:spacing w:after="200" w:before="20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Cox (1981), fills this gap by describing problem solving theory as one that takes the current framework as given, and solves problems within it. Critical theory on the other hand, questions the system and why the current problem is happening in the first place. Cox's framework examines social forces within the world order, and environmental action is better understood by examining the social forces that shaped current norms and policies. </w:t>
      </w:r>
      <w:r w:rsidDel="00000000" w:rsidR="00000000" w:rsidRPr="00000000">
        <w:rPr>
          <w:rtl w:val="0"/>
        </w:rPr>
      </w:r>
    </w:p>
    <w:p w:rsidR="00000000" w:rsidDel="00000000" w:rsidP="00000000" w:rsidRDefault="00000000" w:rsidRPr="00000000" w14:paraId="0000000B">
      <w:pPr>
        <w:spacing w:after="200" w:before="20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After the second world war, developmentalism was a social force. Developmentalism is the belief that national industrialization is the best way to achieve increased productivity and national income (Johnson 1982). However, it fails to incorporate environmentalism, instead focusing on industrialization, accumulation and growth. We argue that this happens because the global order only rewarded those that participated in trade, compelling peripheral states to focus on economies. The rise of Third World Solidarity with Non-Aligned Movement gave peripheral states a chance to resist and led to the creation of New International</w:t>
      </w:r>
      <w:r w:rsidDel="00000000" w:rsidR="00000000" w:rsidRPr="00000000">
        <w:rPr>
          <w:rFonts w:ascii="Times New Roman" w:cs="Times New Roman" w:eastAsia="Times New Roman" w:hAnsi="Times New Roman"/>
          <w:rtl w:val="0"/>
        </w:rPr>
        <w:t xml:space="preserve"> Economic Order (NIEO)</w:t>
      </w:r>
      <w:r w:rsidDel="00000000" w:rsidR="00000000" w:rsidRPr="00000000">
        <w:rPr>
          <w:rFonts w:ascii="Times New Roman" w:cs="Times New Roman" w:eastAsia="Times New Roman" w:hAnsi="Times New Roman"/>
          <w:rtl w:val="0"/>
        </w:rPr>
        <w:t xml:space="preserve">. However, even within the NIEO framework, the environment was not at the forefront. </w:t>
      </w:r>
      <w:r w:rsidDel="00000000" w:rsidR="00000000" w:rsidRPr="00000000">
        <w:rPr>
          <w:rtl w:val="0"/>
        </w:rPr>
      </w:r>
    </w:p>
    <w:p w:rsidR="00000000" w:rsidDel="00000000" w:rsidP="00000000" w:rsidRDefault="00000000" w:rsidRPr="00000000" w14:paraId="0000000C">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could be attributed to environmental action on the part of states being under the problem solving theory framework. The first multilateral action on the environment was the United Nations Conference on the Human Environment held at Stockholm in 1972, which nascently set the norms for future environmental regulations to be governed by liberal environmentalism, which manages environmental problems through economic growth, free trade and market instruments (Bernstein, 2001). Thus, all multilateral environmental cooperation to follow has hinged on the principle of respecting the liberal economic order instead of challenging it, leading to inability of climate governance to produce meaningful environmental change. </w:t>
      </w:r>
    </w:p>
    <w:p w:rsidR="00000000" w:rsidDel="00000000" w:rsidP="00000000" w:rsidRDefault="00000000" w:rsidRPr="00000000" w14:paraId="0000000D">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decades of activity by nations giving speeches, participating in negotiations, setting up institutions, funding agencies and billion dollar carbon markets around the world, things have continued to get worse (Ciplet et al, 2015). States responses to climate change today include submitting nationally determined contributions, participating in the COPs, and exercising common but differentiated responsibility. However, nationally determined contributions are not legally binding, and limits of voluntary commitments include the absence of repercussions if a state fails to meet group deadlines in the future and a lack of verification mechanisms for completion of pledges (Ciplet et al, 2015). These forces contribute to failure of climate governance mechanisms to this day. </w:t>
      </w:r>
    </w:p>
    <w:p w:rsidR="00000000" w:rsidDel="00000000" w:rsidP="00000000" w:rsidRDefault="00000000" w:rsidRPr="00000000" w14:paraId="0000000E">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failure of climate governance mechanisms is in the climate migration field. Climate migration is the forced or voluntary movement of people from their homes due to sudden or slow-onset climate-related events such as droughts, floods, and earthquakes (</w:t>
      </w:r>
      <w:r w:rsidDel="00000000" w:rsidR="00000000" w:rsidRPr="00000000">
        <w:rPr>
          <w:rFonts w:ascii="Times New Roman" w:cs="Times New Roman" w:eastAsia="Times New Roman" w:hAnsi="Times New Roman"/>
          <w:highlight w:val="white"/>
          <w:rtl w:val="0"/>
        </w:rPr>
        <w:t xml:space="preserve">Clement et al. 2021). </w:t>
      </w:r>
      <w:r w:rsidDel="00000000" w:rsidR="00000000" w:rsidRPr="00000000">
        <w:rPr>
          <w:rFonts w:ascii="Times New Roman" w:cs="Times New Roman" w:eastAsia="Times New Roman" w:hAnsi="Times New Roman"/>
          <w:color w:val="111111"/>
          <w:highlight w:val="white"/>
          <w:rtl w:val="0"/>
        </w:rPr>
        <w:t xml:space="preserve">More than 170 million people may be internally displaced worldwide by 2050 due to impacts of climate change under pessimistic scenarios, (Statista, 2023). </w:t>
      </w:r>
      <w:r w:rsidDel="00000000" w:rsidR="00000000" w:rsidRPr="00000000">
        <w:rPr>
          <w:rFonts w:ascii="Times New Roman" w:cs="Times New Roman" w:eastAsia="Times New Roman" w:hAnsi="Times New Roman"/>
          <w:rtl w:val="0"/>
        </w:rPr>
        <w:t xml:space="preserve">However, there is no legal recognition of climate migrants as refugees. The 1951 Refugee Convention but does not recognize environmental factors as grounds for seeking asylum. Attempts to include climate induced displacement have been unsuccessful because of resistance from states with concerns about expanding obligations (Relief Web, 2023). </w:t>
      </w:r>
    </w:p>
    <w:p w:rsidR="00000000" w:rsidDel="00000000" w:rsidP="00000000" w:rsidRDefault="00000000" w:rsidRPr="00000000" w14:paraId="0000000F">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exclusion of climate migration from international legal frameworks shifts the burden of managing climate migration onto individual states with no financial or resource support from core countries (Gemenne, 2011). Thus, state responses are a product of their position in the world system and influenced by consequences of migration like urban resource constraints, unemployment concerns, and political instabilities, and not larger humanitarian and climate change guided policies.  </w:t>
      </w:r>
    </w:p>
    <w:p w:rsidR="00000000" w:rsidDel="00000000" w:rsidP="00000000" w:rsidRDefault="00000000" w:rsidRPr="00000000" w14:paraId="00000010">
      <w:pPr>
        <w:spacing w:after="200" w:before="20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State responses shaped by position in the world system  </w:t>
      </w:r>
    </w:p>
    <w:p w:rsidR="00000000" w:rsidDel="00000000" w:rsidP="00000000" w:rsidRDefault="00000000" w:rsidRPr="00000000" w14:paraId="00000011">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responses are affected by institutional capacity and domestic class politics. Peripheral states have limited fiscal resources and weak welfare institutions, which make coercive responses cheaper </w:t>
      </w:r>
      <w:r w:rsidDel="00000000" w:rsidR="00000000" w:rsidRPr="00000000">
        <w:rPr>
          <w:rFonts w:ascii="Times New Roman" w:cs="Times New Roman" w:eastAsia="Times New Roman" w:hAnsi="Times New Roman"/>
          <w:rtl w:val="0"/>
        </w:rPr>
        <w:t xml:space="preserve">(Canak, 1984). </w:t>
      </w:r>
      <w:r w:rsidDel="00000000" w:rsidR="00000000" w:rsidRPr="00000000">
        <w:rPr>
          <w:rFonts w:ascii="Times New Roman" w:cs="Times New Roman" w:eastAsia="Times New Roman" w:hAnsi="Times New Roman"/>
          <w:rtl w:val="0"/>
        </w:rPr>
        <w:t xml:space="preserve">Policing and exclusion become state responses when a state cannot fund relocation programmes or welfare schemes. </w:t>
      </w:r>
    </w:p>
    <w:p w:rsidR="00000000" w:rsidDel="00000000" w:rsidP="00000000" w:rsidRDefault="00000000" w:rsidRPr="00000000" w14:paraId="00000012">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compounded by peripheral countries’ history of colonialism, which translates to weaker institutions today. Local elites produced by colonial rule are likely to imitate colonial rulers because they have a direct economic interest in maintaining dependency of the colonized, with the emergence of corruption, and continued inequality even after independence </w:t>
      </w:r>
      <w:r w:rsidDel="00000000" w:rsidR="00000000" w:rsidRPr="00000000">
        <w:rPr>
          <w:rFonts w:ascii="Times New Roman" w:cs="Times New Roman" w:eastAsia="Times New Roman" w:hAnsi="Times New Roman"/>
          <w:rtl w:val="0"/>
        </w:rPr>
        <w:t xml:space="preserve">(Fanon, 1961)</w:t>
      </w:r>
      <w:r w:rsidDel="00000000" w:rsidR="00000000" w:rsidRPr="00000000">
        <w:rPr>
          <w:rFonts w:ascii="Times New Roman" w:cs="Times New Roman" w:eastAsia="Times New Roman" w:hAnsi="Times New Roman"/>
          <w:rtl w:val="0"/>
        </w:rPr>
        <w:t xml:space="preserve">. This pattern leads to weaker political institutions by design in newly freed nations which then become peripheral states. The continued reproduction of inequalities in peripheral states create domestic class politics of the oppressor and oppressed, which in turn affect state responses to climate migration today. Additionally, the differential distribution of climate vulnerabilities across states follow existing patterns of inequalities, making rural populations, informal sector workers and communities with poor political power in peripheral countries (O'Brien &amp; Leichenko 2000), at the periphery of a periphery.</w:t>
      </w:r>
    </w:p>
    <w:p w:rsidR="00000000" w:rsidDel="00000000" w:rsidP="00000000" w:rsidRDefault="00000000" w:rsidRPr="00000000" w14:paraId="00000013">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domestic responses to climate migration are shaped by the structure of the world system. However, this literature does not provide a framework that links domestic politics, climate migration and world systems theory to form state responses to </w:t>
      </w:r>
      <w:r w:rsidDel="00000000" w:rsidR="00000000" w:rsidRPr="00000000">
        <w:rPr>
          <w:rFonts w:ascii="Times New Roman" w:cs="Times New Roman" w:eastAsia="Times New Roman" w:hAnsi="Times New Roman"/>
          <w:rtl w:val="0"/>
        </w:rPr>
        <w:t xml:space="preserve">displacement. My framework explains what happens in a peripheral state when these three concepts converge, and how different groups receive different state responses depending on their political and social power. </w:t>
      </w:r>
    </w:p>
    <w:p w:rsidR="00000000" w:rsidDel="00000000" w:rsidP="00000000" w:rsidRDefault="00000000" w:rsidRPr="00000000" w14:paraId="00000014">
      <w:pPr>
        <w:spacing w:after="200" w:before="20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Analytical Framework </w:t>
      </w:r>
      <w:r w:rsidDel="00000000" w:rsidR="00000000" w:rsidRPr="00000000">
        <w:rPr>
          <w:rtl w:val="0"/>
        </w:rPr>
      </w:r>
    </w:p>
    <w:p w:rsidR="00000000" w:rsidDel="00000000" w:rsidP="00000000" w:rsidRDefault="00000000" w:rsidRPr="00000000" w14:paraId="00000015">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framework explains why state responses to climate related issues, specifically climate migration, are structurally produced through their position in the current world system. Exportation of climate change harms is a feature of the current world system under the core-periphery model, and existing international institutions are problem solving entities that do not challenge the structure of the system. State responses are then driven by a failure of international climate governance systems, and structurally produced domestic politics and institutional capacities. I apply this framework specifically for the case of Bangladesh to demonstrate how state responses to migration are not authoritarian, but a result of structure.</w:t>
      </w:r>
    </w:p>
    <w:p w:rsidR="00000000" w:rsidDel="00000000" w:rsidP="00000000" w:rsidRDefault="00000000" w:rsidRPr="00000000" w14:paraId="00000016">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state's position in the world system defines how much environmental harm it absorbs and what capacities it has to tackle these responses. Climate migration is structurally as a result of extraction, which is inherited by peripheral states without having a part in causing it. The lack of success of global climate governance mechanisms means peripheral states do not have a framework to raise climate related grievances or receive targeted help from international institutions. This leads to peripheral states managing the climate crisis with limited resources.</w:t>
      </w:r>
    </w:p>
    <w:p w:rsidR="00000000" w:rsidDel="00000000" w:rsidP="00000000" w:rsidRDefault="00000000" w:rsidRPr="00000000" w14:paraId="00000017">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peripheral state using violence or coercion on the displaced to curb impacts of climate migration stems from facing </w:t>
      </w:r>
      <w:r w:rsidDel="00000000" w:rsidR="00000000" w:rsidRPr="00000000">
        <w:rPr>
          <w:rFonts w:ascii="Times New Roman" w:cs="Times New Roman" w:eastAsia="Times New Roman" w:hAnsi="Times New Roman"/>
          <w:color w:val="111111"/>
          <w:highlight w:val="white"/>
          <w:rtl w:val="0"/>
        </w:rPr>
        <w:t xml:space="preserve">resource scarcity, risk of exclusion from trade, and interdependence on the world system. This response is driven by its position in the world system, followed by domestic factors of institutional capacities and domestic politics. </w:t>
      </w:r>
      <w:r w:rsidDel="00000000" w:rsidR="00000000" w:rsidRPr="00000000">
        <w:rPr>
          <w:rtl w:val="0"/>
        </w:rPr>
      </w:r>
    </w:p>
    <w:p w:rsidR="00000000" w:rsidDel="00000000" w:rsidP="00000000" w:rsidRDefault="00000000" w:rsidRPr="00000000" w14:paraId="00000018">
      <w:pPr>
        <w:spacing w:after="200" w:before="200" w:line="360" w:lineRule="auto"/>
        <w:jc w:val="both"/>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color w:val="111111"/>
          <w:rtl w:val="0"/>
        </w:rPr>
        <w:t xml:space="preserve">This is not to say that climate issues do not exist in core countries. The recent</w:t>
      </w:r>
      <w:r w:rsidDel="00000000" w:rsidR="00000000" w:rsidRPr="00000000">
        <w:rPr>
          <w:rFonts w:ascii="Times New Roman" w:cs="Times New Roman" w:eastAsia="Times New Roman" w:hAnsi="Times New Roman"/>
          <w:color w:val="111111"/>
          <w:highlight w:val="white"/>
          <w:rtl w:val="0"/>
        </w:rPr>
        <w:t xml:space="preserve"> US wildfires and European heatwaves are examples of the same. However, core countries are able to exercise high protection and have faster recovery rates due to better infrastructure, formalized employment that provides insurance, and disaster response. While periphery countries have restricted mobility, low protection and slow recovery rates. Climate migration and state violence are produced by the system but reinforced through political choices and unequal protection. </w:t>
      </w:r>
    </w:p>
    <w:p w:rsidR="00000000" w:rsidDel="00000000" w:rsidP="00000000" w:rsidRDefault="00000000" w:rsidRPr="00000000" w14:paraId="00000019">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Bangladesh as a Case Study </w:t>
      </w:r>
    </w:p>
    <w:p w:rsidR="00000000" w:rsidDel="00000000" w:rsidP="00000000" w:rsidRDefault="00000000" w:rsidRPr="00000000" w14:paraId="0000001A">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Bangladesh sits at the periphery of the periphery. Bangladesh faces high climate vulnerability and exposure, with climate change leading to an increasing number of natural hazards, such as floods, cyclones, droughts, and riverbank erosion, through rising sea levels, and rising temperatures (Seddiky et al., 2024). </w:t>
      </w:r>
    </w:p>
    <w:p w:rsidR="00000000" w:rsidDel="00000000" w:rsidP="00000000" w:rsidRDefault="00000000" w:rsidRPr="00000000" w14:paraId="0000001B">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Bangladesh bears the brunt of inequality in climate change impacts, as it is one of the lowest emitting countries in the world, producing 0.3% of global greenhouse gas emissions as of 2022, but faces </w:t>
      </w:r>
      <w:r w:rsidDel="00000000" w:rsidR="00000000" w:rsidRPr="00000000">
        <w:rPr>
          <w:rFonts w:ascii="Times New Roman" w:cs="Times New Roman" w:eastAsia="Times New Roman" w:hAnsi="Times New Roman"/>
          <w:highlight w:val="white"/>
          <w:rtl w:val="0"/>
        </w:rPr>
        <w:t xml:space="preserve">$3.72 billion worth of economic losses and 185 extreme weather events (Climate Reality Project, 2025). These extreme weather events include </w:t>
      </w:r>
      <w:r w:rsidDel="00000000" w:rsidR="00000000" w:rsidRPr="00000000">
        <w:rPr>
          <w:rFonts w:ascii="Times New Roman" w:cs="Times New Roman" w:eastAsia="Times New Roman" w:hAnsi="Times New Roman"/>
          <w:rtl w:val="0"/>
        </w:rPr>
        <w:t xml:space="preserve">projected sea level rise which can contribute to millions of internal migrants by midcentury, tropical cyclones, which make land fall in Bangladesh once every two to three years, and can trigger deadly storm surge and coastal flooding, resulting in losses that disproportionately affect lower-income households (World Bank, 2024). </w:t>
      </w:r>
      <w:r w:rsidDel="00000000" w:rsidR="00000000" w:rsidRPr="00000000">
        <w:rPr>
          <w:rFonts w:ascii="Times New Roman" w:cs="Times New Roman" w:eastAsia="Times New Roman" w:hAnsi="Times New Roman"/>
          <w:highlight w:val="white"/>
          <w:rtl w:val="0"/>
        </w:rPr>
        <w:t xml:space="preserve">This sets up Bangladesh as the classic case of a peripheral country bearing the exported environmental harm of core countries. </w:t>
      </w:r>
      <w:r w:rsidDel="00000000" w:rsidR="00000000" w:rsidRPr="00000000">
        <w:rPr>
          <w:rtl w:val="0"/>
        </w:rPr>
      </w:r>
    </w:p>
    <w:p w:rsidR="00000000" w:rsidDel="00000000" w:rsidP="00000000" w:rsidRDefault="00000000" w:rsidRPr="00000000" w14:paraId="0000001C">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Extreme vulnerability to economic losses is exacerbated by the country’s dependence on global trade, with exports concentrated in the ready made garments sector, contributing to 85% of total merchandise exports in 2023. Such a heavy reliance on a single industry exposes the economy to risks associated with sector specific disruptions (Asian Development Bank, 2024). Additionally, the ready made garment industry employs a large workforce with 75% being first-generation migrants from impoverished rural backgrounds, facilitating rural-to-urban labour migration (Deep, 2026). The country has unprecedented remittance flows of 30.3 billion $ in FY 2025, mostly received in dollar terms (The Daily Star, 2026). This sets up Bangladesh as a peripheral country with a developing economy highly dependent on exports. </w:t>
      </w:r>
    </w:p>
    <w:p w:rsidR="00000000" w:rsidDel="00000000" w:rsidP="00000000" w:rsidRDefault="00000000" w:rsidRPr="00000000" w14:paraId="0000001D">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next 30 years, 13.3 million people may become internal migrants due to the consequences of climate change on agriculture, water scarcity, and rising sea levels. In the event of severe flooding, the GDP might fall by as much as 9 percent (Harvard Humanitarian Review, 2025). However, the country has no international legal protection for its displaced citizens.</w:t>
      </w:r>
    </w:p>
    <w:p w:rsidR="00000000" w:rsidDel="00000000" w:rsidP="00000000" w:rsidRDefault="00000000" w:rsidRPr="00000000" w14:paraId="0000001E">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Domestic class politics and Institutional Weakness drive State Responses </w:t>
      </w:r>
    </w:p>
    <w:p w:rsidR="00000000" w:rsidDel="00000000" w:rsidP="00000000" w:rsidRDefault="00000000" w:rsidRPr="00000000" w14:paraId="0000001F">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class politics drive Bangladesh’s response, intensified by weak state capacity, weak regulatory environment, state capture by a segment of business-sector elites, and the dominance of cronies during the fifteen year rule of the</w:t>
      </w:r>
      <w:r w:rsidDel="00000000" w:rsidR="00000000" w:rsidRPr="00000000">
        <w:rPr>
          <w:rFonts w:ascii="Times New Roman" w:cs="Times New Roman" w:eastAsia="Times New Roman" w:hAnsi="Times New Roman"/>
          <w:rtl w:val="0"/>
        </w:rPr>
        <w:t xml:space="preserve"> Awami league</w:t>
      </w:r>
      <w:r w:rsidDel="00000000" w:rsidR="00000000" w:rsidRPr="00000000">
        <w:rPr>
          <w:rFonts w:ascii="Times New Roman" w:cs="Times New Roman" w:eastAsia="Times New Roman" w:hAnsi="Times New Roman"/>
          <w:rtl w:val="0"/>
        </w:rPr>
        <w:t xml:space="preserve"> (Deep, 2026). Corruption of public officials undermines recovery and adaptation efforts to climate change events by making them expensive and inaccessible. Climate vulnerability is exacerbated through failure of governance systems (Rahman, 2018). </w:t>
      </w:r>
    </w:p>
    <w:p w:rsidR="00000000" w:rsidDel="00000000" w:rsidP="00000000" w:rsidRDefault="00000000" w:rsidRPr="00000000" w14:paraId="00000020">
      <w:pPr>
        <w:spacing w:after="200" w:before="200"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This corruption affects Bangladesh’s land resettlement efforts as a response to climate change. </w:t>
      </w:r>
      <w:r w:rsidDel="00000000" w:rsidR="00000000" w:rsidRPr="00000000">
        <w:rPr>
          <w:rFonts w:ascii="Times New Roman" w:cs="Times New Roman" w:eastAsia="Times New Roman" w:hAnsi="Times New Roman"/>
          <w:rtl w:val="0"/>
        </w:rPr>
        <w:t xml:space="preserve">Bangladesh is already losing land due to climate change through sea level rises, compounded by relocation of a large number of climate migrants. </w:t>
      </w:r>
      <w:r w:rsidDel="00000000" w:rsidR="00000000" w:rsidRPr="00000000">
        <w:rPr>
          <w:rFonts w:ascii="Times New Roman" w:cs="Times New Roman" w:eastAsia="Times New Roman" w:hAnsi="Times New Roman"/>
          <w:highlight w:val="white"/>
          <w:rtl w:val="0"/>
        </w:rPr>
        <w:t xml:space="preserve">Bangladesh is projected to lose between 12.34 and 17.95 percent of its coastal landmass due to sea-level rise-induced flooding by 2100, and by 2050 one in every seven people in the country will be displaced due to climate change (Blast, 2025). </w:t>
      </w:r>
      <w:r w:rsidDel="00000000" w:rsidR="00000000" w:rsidRPr="00000000">
        <w:rPr>
          <w:rtl w:val="0"/>
        </w:rPr>
      </w:r>
    </w:p>
    <w:p w:rsidR="00000000" w:rsidDel="00000000" w:rsidP="00000000" w:rsidRDefault="00000000" w:rsidRPr="00000000" w14:paraId="00000021">
      <w:pPr>
        <w:spacing w:after="200" w:before="200"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However, land scarcity is not the main reason for a lack of available resettlement land for the displaced. Rather, illegal occupations and mismanagement of public lands leave displaced people landless. Land predation by elites remains an issue with civilian and military elites manipulating laws, courts and other banal parts of state (Feldman &amp; Giesler, 2012. Up to 88% of khas land and 95% of khas water bodies are under illegal possession of powerful elites, people with political influence, along with land and forestry officials (Naser, 2014).  </w:t>
      </w:r>
      <w:r w:rsidDel="00000000" w:rsidR="00000000" w:rsidRPr="00000000">
        <w:rPr>
          <w:rtl w:val="0"/>
        </w:rPr>
      </w:r>
    </w:p>
    <w:p w:rsidR="00000000" w:rsidDel="00000000" w:rsidP="00000000" w:rsidRDefault="00000000" w:rsidRPr="00000000" w14:paraId="00000022">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Internal displacement adds to climate migration burdens. More than 500,000 people may be internally displaced in Bangladesh due to conflict over land and religious persecution, provoked by government policies to forcibly move muslim populations to land belonging to tribal people. With the election of the Bangladesh National Party in 2001, many hindu and other minority groups were forcibly displaced (Relief Web, 2003).  </w:t>
      </w:r>
    </w:p>
    <w:p w:rsidR="00000000" w:rsidDel="00000000" w:rsidP="00000000" w:rsidRDefault="00000000" w:rsidRPr="00000000" w14:paraId="00000023">
      <w:pPr>
        <w:spacing w:after="200" w:before="200"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New patterns of land capture by elites who engage gangs, corrupted public servants and the military to coerce small producers into relinquishing titles to their ever more valuable lands in and near urban areas, highlighting people facing in-situ or prolonged removal (Feldman &amp; Giesler, 2012). The government must come up with its own plan to tackle internal displacement, as a study found that the human rights support envisaged for internally displaced peoples in Bangladesh as a part of international guiding principles is not practiced (Harvard Humanitarian Review, 2025).</w:t>
      </w:r>
      <w:r w:rsidDel="00000000" w:rsidR="00000000" w:rsidRPr="00000000">
        <w:rPr>
          <w:rtl w:val="0"/>
        </w:rPr>
      </w:r>
    </w:p>
    <w:p w:rsidR="00000000" w:rsidDel="00000000" w:rsidP="00000000" w:rsidRDefault="00000000" w:rsidRPr="00000000" w14:paraId="00000024">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Peripheral World Position driving State Responses </w:t>
      </w:r>
    </w:p>
    <w:p w:rsidR="00000000" w:rsidDel="00000000" w:rsidP="00000000" w:rsidRDefault="00000000" w:rsidRPr="00000000" w14:paraId="00000025">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rtl w:val="0"/>
        </w:rPr>
        <w:t xml:space="preserve">hese issues threaten peripheral countries in the international context by inability to remain economically competitive, lack of international help to strengthen institutions. Taking the example of the Delta Plan 2100, which is Bangladesh's official plan to address climate adaptation for rising sea levels. It produced climate migration as almost entirely a problem to be prevented through infrastructure investment, with 65 infrastructure projects including those to create safe pipe water, better sanitation and drainage infrastructure (World Bank, 2021). It does not address rights based frameworks, demonstrating problem solving theory driving state response with emphasis on economic growth first, and climate resilience second. Even then, there is no mention of structural causes of displacement or plans to address affected communities. </w:t>
      </w:r>
    </w:p>
    <w:p w:rsidR="00000000" w:rsidDel="00000000" w:rsidP="00000000" w:rsidRDefault="00000000" w:rsidRPr="00000000" w14:paraId="00000026">
      <w:pPr>
        <w:spacing w:after="200" w:before="20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funding of this project by the world bank along with the Dutch government (World Bank, 2021), drives this emphasis on infrastructure and economy, highlighting Bangladesh’s peripheral position in the world order. Bangladesh’s position and colonial past make it in need of international support for financing, </w:t>
      </w:r>
      <w:r w:rsidDel="00000000" w:rsidR="00000000" w:rsidRPr="00000000">
        <w:rPr>
          <w:rFonts w:ascii="Times New Roman" w:cs="Times New Roman" w:eastAsia="Times New Roman" w:hAnsi="Times New Roman"/>
          <w:highlight w:val="white"/>
          <w:rtl w:val="0"/>
        </w:rPr>
        <w:t xml:space="preserve">from the Green Climate Fund (GCF) with the country receiving $1.2 billion annually (Hassan et al, 2025), taking away the choice of frameworks within in the Delta, and instead emphasizing the need for a plan that investors will accept.</w:t>
      </w:r>
    </w:p>
    <w:p w:rsidR="00000000" w:rsidDel="00000000" w:rsidP="00000000" w:rsidRDefault="00000000" w:rsidRPr="00000000" w14:paraId="00000027">
      <w:pPr>
        <w:spacing w:after="200" w:before="20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As a peripheral state with limited fiscal resources, fragmented institutions (Canak, 1984), and aggravated by land loss, cannot finance large-scale resettlement programmes without external support. While the principle of common but differentiated responsibility (CBDR) creates provision for help by linking implementation of peripheral countries commitments to the provision of assistance core countries, they have agreed to facilitate this only through private investments and public private partnerships in ways that align with market conditions (Okereke, 2010), (Rajmani, 2012). The plan must generate some sort of investment opportunities and benefits to gain approval, and climate migration adaptation programmes usually do not, reducing the viability of receiving finance for the same. </w:t>
      </w:r>
      <w:r w:rsidDel="00000000" w:rsidR="00000000" w:rsidRPr="00000000">
        <w:rPr>
          <w:rtl w:val="0"/>
        </w:rPr>
      </w:r>
    </w:p>
    <w:p w:rsidR="00000000" w:rsidDel="00000000" w:rsidP="00000000" w:rsidRDefault="00000000" w:rsidRPr="00000000" w14:paraId="00000028">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Periphery of the Periphery Framework </w:t>
      </w:r>
    </w:p>
    <w:p w:rsidR="00000000" w:rsidDel="00000000" w:rsidP="00000000" w:rsidRDefault="00000000" w:rsidRPr="00000000" w14:paraId="00000029">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Bangladesh, we find three communities facing different levels of state responses. </w:t>
      </w:r>
    </w:p>
    <w:p w:rsidR="00000000" w:rsidDel="00000000" w:rsidP="00000000" w:rsidRDefault="00000000" w:rsidRPr="00000000" w14:paraId="0000002A">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Rural Coastal Poor are Neglected </w:t>
      </w:r>
    </w:p>
    <w:p w:rsidR="00000000" w:rsidDel="00000000" w:rsidP="00000000" w:rsidRDefault="00000000" w:rsidRPr="00000000" w14:paraId="0000002B">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Bangladesh is projected to lose between 12.34 and 17.95 percent of its coastal landmass due to sea-level rise-induced flooding by 2100, and by 2050 one in every seven Bangladeshis will be displaced by climate change (Blast, 2025). In the event of severe flooding, GDP could fall by as much as 9 percent, with losses disproportionately concentrated among lower-income coastal households (World Bank, 2024; Harvard Humanitarian Review, 2025). This makes the rural coastal poor vulnerable to climate change, while having limited political power. </w:t>
      </w:r>
    </w:p>
    <w:p w:rsidR="00000000" w:rsidDel="00000000" w:rsidP="00000000" w:rsidRDefault="00000000" w:rsidRPr="00000000" w14:paraId="0000002C">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Bangladesh's Climate Change Strategy and Action Plan (BCCSAP) does not incorporate mobility or displacement narratives (Blast, 2025), making this community invisible in current policy frameworks. While Bangladesh has many climate and disaster management policies, migration is usually treated negatively or ignored. Policies tend to focus on disaster response rather than long-term protection and rehabilitation of displaced populations (Harun et al, 2025). </w:t>
      </w:r>
    </w:p>
    <w:p w:rsidR="00000000" w:rsidDel="00000000" w:rsidP="00000000" w:rsidRDefault="00000000" w:rsidRPr="00000000" w14:paraId="0000002D">
      <w:pPr>
        <w:spacing w:after="200" w:before="20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Urban slum migrants and policing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Dhaka’s slum settlements, more than 3 million low income people and migrants reside with scarce access to utilities, leading to conflict through physical violence, and a significant portion of slum dwellers engage in prostitution, hijacking, and drug trafficking (Harvard Humanitarian Review, 2025). Overcrowding, security concerns and poverty risk push some refugees, particularly young men, towards criminal gangs and armed groups, potentially fuelling further violence (Deep, 2026). These issues aggravate domestic class politics, making it easier for the government to brand low income migrants as initiators of violence, using this to justify increased surveillance instead of humanitarian state responses.</w:t>
      </w:r>
    </w:p>
    <w:p w:rsidR="00000000" w:rsidDel="00000000" w:rsidP="00000000" w:rsidRDefault="00000000" w:rsidRPr="00000000" w14:paraId="0000002F">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absence of legal frameworks allows the government to frame these communities and people as they please, leaving the slum dwellers with no rights to demand better services. They are visible and policied, but invisible from policy frameworks. </w:t>
      </w:r>
    </w:p>
    <w:p w:rsidR="00000000" w:rsidDel="00000000" w:rsidP="00000000" w:rsidRDefault="00000000" w:rsidRPr="00000000" w14:paraId="00000030">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Rohingya refugees and Encampment </w:t>
      </w:r>
    </w:p>
    <w:p w:rsidR="00000000" w:rsidDel="00000000" w:rsidP="00000000" w:rsidRDefault="00000000" w:rsidRPr="00000000" w14:paraId="00000031">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Rohingya refugee population represents the outermost layer of Bangladesh's periphery. Despite being a least developed country, Bangladesh has been hosting more than 700,000 Rohingya refugees (Harvard Humanitarian Review, 2025), of which 86% are at risk of extreme poverty (World Bank, 2020). These refugees live in shelters with little protection and are highly vulnerable to climate change (Migration Policy institute, 2024). </w:t>
      </w:r>
    </w:p>
    <w:p w:rsidR="00000000" w:rsidDel="00000000" w:rsidP="00000000" w:rsidRDefault="00000000" w:rsidRPr="00000000" w14:paraId="00000032">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Apart from internal migration and climate migration, Bangladesh hosting Rohingya refugees creates a larger need for land. </w:t>
      </w:r>
      <w:r w:rsidDel="00000000" w:rsidR="00000000" w:rsidRPr="00000000">
        <w:rPr>
          <w:rFonts w:ascii="Times New Roman" w:cs="Times New Roman" w:eastAsia="Times New Roman" w:hAnsi="Times New Roman"/>
          <w:rtl w:val="0"/>
        </w:rPr>
        <w:t xml:space="preserve">The state's response to the Rohingya has escalated from humanitarian to containment. Rohingya are not permitted to work legally and have restricted movement with surveillance at designated camps in Cox’s Bazar (Relief Web, 2025). The government has moved thousands of refugees to the remote Bhasan Char island to reduce overcrowding in Cox's Bazar. However, Bhasan Char is not safe for settlement, being three to five hours from the mainland by boat, inaccessible in high winds, and lacking an airstrip for fixed-winged planes, it can be cut off from the world during extreme weather events (Human Rights Watch, 2021). </w:t>
      </w:r>
    </w:p>
    <w:p w:rsidR="00000000" w:rsidDel="00000000" w:rsidP="00000000" w:rsidRDefault="00000000" w:rsidRPr="00000000" w14:paraId="00000033">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and pro-government media portrayals have enabled the above state response, escalating the Rohingya refugee issue from a humanitarian to a national security risk that requires state policies to control, resist and reject refugees. The current regional crisis with competition for jobs, resources and increasing crime has been attributed to the Rohingya’s by government officials statements (Girinoto, 2026). Once a state response has been solidified with surveillance, it will not change even if the recipient populations do. Future climate migrants in Bangladesh might originate from the same rural coastal poor and urban slums that are currently subject to policing and criminalization, and this in the long run will create state justifications for non-humanitarian action. </w:t>
      </w:r>
    </w:p>
    <w:p w:rsidR="00000000" w:rsidDel="00000000" w:rsidP="00000000" w:rsidRDefault="00000000" w:rsidRPr="00000000" w14:paraId="00000034">
      <w:pPr>
        <w:spacing w:after="200" w:before="20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Limitations and Scope for Further Research </w:t>
      </w:r>
    </w:p>
    <w:p w:rsidR="00000000" w:rsidDel="00000000" w:rsidP="00000000" w:rsidRDefault="00000000" w:rsidRPr="00000000" w14:paraId="00000035">
      <w:pPr>
        <w:spacing w:after="200" w:before="20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This paper focuses on Bangladesh as the only case study, but comparison and extension to other peripheral states such as Costa Rica, Honduras or small island nations will increase generalizability. This paper currently does not account for resistance from communities in </w:t>
      </w:r>
      <w:r w:rsidDel="00000000" w:rsidR="00000000" w:rsidRPr="00000000">
        <w:rPr>
          <w:rFonts w:ascii="Times New Roman" w:cs="Times New Roman" w:eastAsia="Times New Roman" w:hAnsi="Times New Roman"/>
          <w:rtl w:val="0"/>
        </w:rPr>
        <w:t xml:space="preserve">the periphery of the periphery</w:t>
      </w:r>
      <w:r w:rsidDel="00000000" w:rsidR="00000000" w:rsidRPr="00000000">
        <w:rPr>
          <w:rFonts w:ascii="Times New Roman" w:cs="Times New Roman" w:eastAsia="Times New Roman" w:hAnsi="Times New Roman"/>
          <w:rtl w:val="0"/>
        </w:rPr>
        <w:t xml:space="preserve">, and the help of civil society organizations that shape state responses and create wins for these communities. We recommend further research in this area to better inform our hypothesis. The paper also treats Bangladesh state as a single entity, ignoring the differences in state police, governing bodies, legal bodies, and state officials. We recommend a full time relative analysis of the political transitions in Bangladesh and their impact on structurally produced state responses, as it would extend generalizability beyond political regime and onto the system itself. </w:t>
      </w:r>
      <w:r w:rsidDel="00000000" w:rsidR="00000000" w:rsidRPr="00000000">
        <w:rPr>
          <w:rtl w:val="0"/>
        </w:rPr>
      </w:r>
    </w:p>
    <w:p w:rsidR="00000000" w:rsidDel="00000000" w:rsidP="00000000" w:rsidRDefault="00000000" w:rsidRPr="00000000" w14:paraId="00000036">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address two alternative explanations here. First, does Bangladesh’s response reflect the rise in authoritarianism under the Awami league instead of world system position? Under Sheikh Hasina, the suppression of political opposition ran for fifteen years under the dominance of a single party, leading to exclusionary displacement policy (Deep, 2025). However, this does not explain the content of Bangladesh's state responses, such as why it takes on different forms for coastal communities, slum migrants and refugees. These are explained in our framework through resource scarcity, elite land capture and international trade dependence. Under the above explanations,  the Yunus led interim government should produce different migration policies, which can be explored further as well. </w:t>
      </w:r>
    </w:p>
    <w:p w:rsidR="00000000" w:rsidDel="00000000" w:rsidP="00000000" w:rsidRDefault="00000000" w:rsidRPr="00000000" w14:paraId="00000037">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core countries also restrict migration and resist expanding refugee obligations, but they do so under the welfare state with formal employment insurance, resettlement programmes and aid (Betts, 2013). Peripheral states are not able to provide this level of protection to their citizens, resulting in harsh methods of exclusion and coercion. Our framework ties together the exclusion to world systems theory, explaining why Bangladesh or other peripheral countries cannot offer the same respite. </w:t>
      </w:r>
    </w:p>
    <w:p w:rsidR="00000000" w:rsidDel="00000000" w:rsidP="00000000" w:rsidRDefault="00000000" w:rsidRPr="00000000" w14:paraId="00000038">
      <w:pPr>
        <w:spacing w:after="200" w:before="20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Conclusion </w:t>
      </w:r>
      <w:r w:rsidDel="00000000" w:rsidR="00000000" w:rsidRPr="00000000">
        <w:rPr>
          <w:rtl w:val="0"/>
        </w:rPr>
      </w:r>
    </w:p>
    <w:p w:rsidR="00000000" w:rsidDel="00000000" w:rsidP="00000000" w:rsidRDefault="00000000" w:rsidRPr="00000000" w14:paraId="00000039">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non-coercive response would look like a climate displacement strategy focused on rights of communities, involving legal recognition and climate finance that does not hinge on market conditions and binding Common But Differentiated Responsibility obligations. However, we question whether such a response is possible within the current world order. We address the argument within de-growth literature, as despite dismantling the capitalistic system, the species level problem of consumption will still persist (Chakrabarty, 2009). My current framework encompasses interactions of nation states, but is not sufficiently large enough to cover a planetary crisis. We explain state responses within the current world system, but cannot claim that systems change is the solution to the species level problem of growth. </w:t>
      </w:r>
    </w:p>
    <w:p w:rsidR="00000000" w:rsidDel="00000000" w:rsidP="00000000" w:rsidRDefault="00000000" w:rsidRPr="00000000" w14:paraId="0000003A">
      <w:pPr>
        <w:spacing w:after="20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w:t>
      </w:r>
      <w:r w:rsidDel="00000000" w:rsidR="00000000" w:rsidRPr="00000000">
        <w:rPr>
          <w:rFonts w:ascii="Times New Roman" w:cs="Times New Roman" w:eastAsia="Times New Roman" w:hAnsi="Times New Roman"/>
          <w:rtl w:val="0"/>
        </w:rPr>
        <w:t xml:space="preserve"> framework makes three contributions to the existing literature. We explain why peripheral states respond to harm through coercion rather than adaptation, because of resource scarcity, elite capture of institutions, and the trade interdependence. We then explain how the exclusion of climate migrants from international legal frameworks is a continuation of the liberal environmentalist logic that has governed multilateral climate cooperation. Through the periphery of the periphery framework, we show that the consequences of international governance  failures are not distributed evenly within peripheral states. The state responses to the rural coastal poor, urban slum migrants, and Rohingya refugees correspond to each group's political power. </w:t>
      </w:r>
    </w:p>
    <w:p w:rsidR="00000000" w:rsidDel="00000000" w:rsidP="00000000" w:rsidRDefault="00000000" w:rsidRPr="00000000" w14:paraId="0000003B">
      <w:pPr>
        <w:keepNext w:val="0"/>
        <w:keepLines w:val="0"/>
        <w:spacing w:after="240" w:before="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Bibliography</w:t>
      </w:r>
    </w:p>
    <w:p w:rsidR="00000000" w:rsidDel="00000000" w:rsidP="00000000" w:rsidRDefault="00000000" w:rsidRPr="00000000" w14:paraId="0000003C">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Abdur Razzaque, Mohammad, Rabiul Islam Rabi, and Barun Kumar Dey. 2024. “Expanding and Diversifying Exports in Bangladesh.” </w:t>
      </w:r>
      <w:r w:rsidDel="00000000" w:rsidR="00000000" w:rsidRPr="00000000">
        <w:rPr>
          <w:rFonts w:ascii="Times New Roman" w:cs="Times New Roman" w:eastAsia="Times New Roman" w:hAnsi="Times New Roman"/>
          <w:i w:val="1"/>
          <w:iCs w:val="1"/>
          <w:rtl w:val="0"/>
        </w:rPr>
        <w:t xml:space="preserve">ADB Briefs</w:t>
      </w:r>
      <w:r w:rsidDel="00000000" w:rsidR="00000000" w:rsidRPr="00000000">
        <w:rPr>
          <w:rFonts w:ascii="Times New Roman" w:cs="Times New Roman" w:eastAsia="Times New Roman" w:hAnsi="Times New Roman"/>
          <w:rtl w:val="0"/>
        </w:rPr>
        <w:t xml:space="preserve"> 234 (34578990). https://doi.org/10.22617/brf240209-2.</w:t>
      </w:r>
    </w:p>
    <w:p w:rsidR="00000000" w:rsidDel="00000000" w:rsidP="00000000" w:rsidRDefault="00000000" w:rsidRPr="00000000" w14:paraId="0000003D">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Blast. 2025. “Bangladesh Faces a Legal Void on Climate-Induced Migration | BLAST.” BLAST. September 14, 2025. https://blast.org.bd/2025/09/14/8123/.</w:t>
      </w:r>
    </w:p>
    <w:p w:rsidR="00000000" w:rsidDel="00000000" w:rsidP="00000000" w:rsidRDefault="00000000" w:rsidRPr="00000000" w14:paraId="0000003E">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Baldwin, Andrew, and Richard Waters. 2024. “Calculating ‘Climate Migrants’: An Emerging Topology of Power.” </w:t>
      </w:r>
      <w:r w:rsidDel="00000000" w:rsidR="00000000" w:rsidRPr="00000000">
        <w:rPr>
          <w:rFonts w:ascii="Times New Roman" w:cs="Times New Roman" w:eastAsia="Times New Roman" w:hAnsi="Times New Roman"/>
          <w:i w:val="1"/>
          <w:iCs w:val="1"/>
          <w:rtl w:val="0"/>
        </w:rPr>
        <w:t xml:space="preserve">Security Dialogue</w:t>
      </w:r>
      <w:r w:rsidDel="00000000" w:rsidR="00000000" w:rsidRPr="00000000">
        <w:rPr>
          <w:rFonts w:ascii="Times New Roman" w:cs="Times New Roman" w:eastAsia="Times New Roman" w:hAnsi="Times New Roman"/>
          <w:rtl w:val="0"/>
        </w:rPr>
        <w:t xml:space="preserve"> 56 (1): 21–37. https://doi.org/10.1177/09670106241269714.</w:t>
      </w:r>
    </w:p>
    <w:p w:rsidR="00000000" w:rsidDel="00000000" w:rsidP="00000000" w:rsidRDefault="00000000" w:rsidRPr="00000000" w14:paraId="0000003F">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Benveniste, Hélène, Michael Oppenheimer, and Marc Fleurbaey. 2022. “Climate Change Increases Resource-Constrained International Immobility.” </w:t>
      </w:r>
      <w:r w:rsidDel="00000000" w:rsidR="00000000" w:rsidRPr="00000000">
        <w:rPr>
          <w:rFonts w:ascii="Times New Roman" w:cs="Times New Roman" w:eastAsia="Times New Roman" w:hAnsi="Times New Roman"/>
          <w:i w:val="1"/>
          <w:iCs w:val="1"/>
          <w:rtl w:val="0"/>
        </w:rPr>
        <w:t xml:space="preserve">Nature Climate Change</w:t>
      </w:r>
      <w:r w:rsidDel="00000000" w:rsidR="00000000" w:rsidRPr="00000000">
        <w:rPr>
          <w:rFonts w:ascii="Times New Roman" w:cs="Times New Roman" w:eastAsia="Times New Roman" w:hAnsi="Times New Roman"/>
          <w:rtl w:val="0"/>
        </w:rPr>
        <w:t xml:space="preserve"> 12 (7): 634–41. https://doi.org/10.1038/s41558-022-01401-w.</w:t>
      </w:r>
    </w:p>
    <w:p w:rsidR="00000000" w:rsidDel="00000000" w:rsidP="00000000" w:rsidRDefault="00000000" w:rsidRPr="00000000" w14:paraId="00000040">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Bernstein, Steven. 2001. </w:t>
      </w:r>
      <w:r w:rsidDel="00000000" w:rsidR="00000000" w:rsidRPr="00000000">
        <w:rPr>
          <w:rFonts w:ascii="Times New Roman" w:cs="Times New Roman" w:eastAsia="Times New Roman" w:hAnsi="Times New Roman"/>
          <w:i w:val="1"/>
          <w:iCs w:val="1"/>
          <w:rtl w:val="0"/>
        </w:rPr>
        <w:t xml:space="preserve">The Compromise of Liberal Environmentalism</w:t>
      </w:r>
      <w:r w:rsidDel="00000000" w:rsidR="00000000" w:rsidRPr="00000000">
        <w:rPr>
          <w:rFonts w:ascii="Times New Roman" w:cs="Times New Roman" w:eastAsia="Times New Roman" w:hAnsi="Times New Roman"/>
          <w:rtl w:val="0"/>
        </w:rPr>
        <w:t xml:space="preserve">. New York: Columbia University Press.</w:t>
      </w:r>
    </w:p>
    <w:p w:rsidR="00000000" w:rsidDel="00000000" w:rsidP="00000000" w:rsidRDefault="00000000" w:rsidRPr="00000000" w14:paraId="00000041">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Boas, Ingrid, Hanne Wiegel, Carol Farbotko, Jeroen Warner, and Mimi Sheller. 2022. “Climate Mobilities: Migration, Im/Mobilities and Mobility Regimes in a Changing Climate.” </w:t>
      </w:r>
      <w:r w:rsidDel="00000000" w:rsidR="00000000" w:rsidRPr="00000000">
        <w:rPr>
          <w:rFonts w:ascii="Times New Roman" w:cs="Times New Roman" w:eastAsia="Times New Roman" w:hAnsi="Times New Roman"/>
          <w:i w:val="1"/>
          <w:iCs w:val="1"/>
          <w:rtl w:val="0"/>
        </w:rPr>
        <w:t xml:space="preserve">Journal of Ethnic and Migration Studies</w:t>
      </w:r>
      <w:r w:rsidDel="00000000" w:rsidR="00000000" w:rsidRPr="00000000">
        <w:rPr>
          <w:rFonts w:ascii="Times New Roman" w:cs="Times New Roman" w:eastAsia="Times New Roman" w:hAnsi="Times New Roman"/>
          <w:rtl w:val="0"/>
        </w:rPr>
        <w:t xml:space="preserve"> 48 (14): 1–15. https://doi.org/10.1080/1369183x.2022.2066264.</w:t>
      </w:r>
    </w:p>
    <w:p w:rsidR="00000000" w:rsidDel="00000000" w:rsidP="00000000" w:rsidRDefault="00000000" w:rsidRPr="00000000" w14:paraId="00000042">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Canak, William L. 1984. “The Peripheral State Debate: State Capitalist and Bureaucratic-Authoritarian Regimes in Latin America.” </w:t>
      </w:r>
      <w:r w:rsidDel="00000000" w:rsidR="00000000" w:rsidRPr="00000000">
        <w:rPr>
          <w:rFonts w:ascii="Times New Roman" w:cs="Times New Roman" w:eastAsia="Times New Roman" w:hAnsi="Times New Roman"/>
          <w:i w:val="1"/>
          <w:iCs w:val="1"/>
          <w:rtl w:val="0"/>
        </w:rPr>
        <w:t xml:space="preserve">Latin American Research Review</w:t>
      </w:r>
      <w:r w:rsidDel="00000000" w:rsidR="00000000" w:rsidRPr="00000000">
        <w:rPr>
          <w:rFonts w:ascii="Times New Roman" w:cs="Times New Roman" w:eastAsia="Times New Roman" w:hAnsi="Times New Roman"/>
          <w:rtl w:val="0"/>
        </w:rPr>
        <w:t xml:space="preserve"> 19 (1): 3–36. https://doi.org/10.1017/s0023879100015739.</w:t>
      </w:r>
    </w:p>
    <w:p w:rsidR="00000000" w:rsidDel="00000000" w:rsidP="00000000" w:rsidRDefault="00000000" w:rsidRPr="00000000" w14:paraId="00000043">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Chakrabarty, Dipesh. 2009. “The Climate of History: Four Theses.” </w:t>
      </w:r>
      <w:r w:rsidDel="00000000" w:rsidR="00000000" w:rsidRPr="00000000">
        <w:rPr>
          <w:rFonts w:ascii="Times New Roman" w:cs="Times New Roman" w:eastAsia="Times New Roman" w:hAnsi="Times New Roman"/>
          <w:i w:val="1"/>
          <w:iCs w:val="1"/>
          <w:rtl w:val="0"/>
        </w:rPr>
        <w:t xml:space="preserve">Critical Inquiry</w:t>
      </w:r>
      <w:r w:rsidDel="00000000" w:rsidR="00000000" w:rsidRPr="00000000">
        <w:rPr>
          <w:rFonts w:ascii="Times New Roman" w:cs="Times New Roman" w:eastAsia="Times New Roman" w:hAnsi="Times New Roman"/>
          <w:rtl w:val="0"/>
        </w:rPr>
        <w:t xml:space="preserve"> 35 (2): 197–222. https://doi.org/10.1086/596640.</w:t>
      </w:r>
    </w:p>
    <w:p w:rsidR="00000000" w:rsidDel="00000000" w:rsidP="00000000" w:rsidRDefault="00000000" w:rsidRPr="00000000" w14:paraId="00000044">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Ciplet, David, Roberts J Timmons, and Khan, Mizan R. 2015. “Front Matter.” In </w:t>
      </w:r>
      <w:r w:rsidDel="00000000" w:rsidR="00000000" w:rsidRPr="00000000">
        <w:rPr>
          <w:rFonts w:ascii="Times New Roman" w:cs="Times New Roman" w:eastAsia="Times New Roman" w:hAnsi="Times New Roman"/>
          <w:i w:val="1"/>
          <w:iCs w:val="1"/>
          <w:rtl w:val="0"/>
        </w:rPr>
        <w:t xml:space="preserve">Power in a Warming World</w:t>
      </w:r>
      <w:r w:rsidDel="00000000" w:rsidR="00000000" w:rsidRPr="00000000">
        <w:rPr>
          <w:rFonts w:ascii="Times New Roman" w:cs="Times New Roman" w:eastAsia="Times New Roman" w:hAnsi="Times New Roman"/>
          <w:rtl w:val="0"/>
        </w:rPr>
        <w:t xml:space="preserve">, i–iv. Mit Press. https://www.jstor.org/stable/j.ctt173zmmq.</w:t>
      </w:r>
    </w:p>
    <w:p w:rsidR="00000000" w:rsidDel="00000000" w:rsidP="00000000" w:rsidRDefault="00000000" w:rsidRPr="00000000" w14:paraId="00000045">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Cox, Robert W. 1981. “Social Forces, States and World Orders: Beyond International Relations </w:t>
      </w:r>
      <w:r w:rsidDel="00000000" w:rsidR="00000000" w:rsidRPr="00000000">
        <w:rPr>
          <w:rFonts w:ascii="Times New Roman" w:cs="Times New Roman" w:eastAsia="Times New Roman" w:hAnsi="Times New Roman"/>
          <w:rtl w:val="0"/>
        </w:rPr>
        <w:t xml:space="preserve">Theory.” </w:t>
      </w:r>
      <w:r w:rsidDel="00000000" w:rsidR="00000000" w:rsidRPr="00000000">
        <w:rPr>
          <w:rFonts w:ascii="Times New Roman" w:cs="Times New Roman" w:eastAsia="Times New Roman" w:hAnsi="Times New Roman"/>
          <w:i w:val="1"/>
          <w:iCs w:val="1"/>
          <w:rtl w:val="0"/>
        </w:rPr>
        <w:t xml:space="preserve">Millennium: Journal of International Studies</w:t>
      </w:r>
      <w:r w:rsidDel="00000000" w:rsidR="00000000" w:rsidRPr="00000000">
        <w:rPr>
          <w:rFonts w:ascii="Times New Roman" w:cs="Times New Roman" w:eastAsia="Times New Roman" w:hAnsi="Times New Roman"/>
          <w:rtl w:val="0"/>
        </w:rPr>
        <w:t xml:space="preserve"> 10 (2): 126–55. </w:t>
      </w:r>
      <w:hyperlink r:id="rId6">
        <w:r w:rsidDel="00000000" w:rsidR="00000000" w:rsidRPr="00000000">
          <w:rPr>
            <w:rFonts w:ascii="Times New Roman" w:cs="Times New Roman" w:eastAsia="Times New Roman" w:hAnsi="Times New Roman"/>
            <w:rtl w:val="0"/>
          </w:rPr>
          <w:t xml:space="preserve">https://doi.org/10.1177/03058298810100020501</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6">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 2026b. “Data &amp; Evidence to End Extreme Poverty.” Data &amp; Evidence to End Extreme Poverty. February 26, 2026. https://povertyevidence.org/resources/the-political-economy-of-poverty-reduction-in-bangladesh/.</w:t>
      </w:r>
    </w:p>
    <w:p w:rsidR="00000000" w:rsidDel="00000000" w:rsidP="00000000" w:rsidRDefault="00000000" w:rsidRPr="00000000" w14:paraId="00000047">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Fanon, Frantz. 1963. </w:t>
      </w:r>
      <w:r w:rsidDel="00000000" w:rsidR="00000000" w:rsidRPr="00000000">
        <w:rPr>
          <w:rFonts w:ascii="Times New Roman" w:cs="Times New Roman" w:eastAsia="Times New Roman" w:hAnsi="Times New Roman"/>
          <w:i w:val="1"/>
          <w:iCs w:val="1"/>
          <w:rtl w:val="0"/>
        </w:rPr>
        <w:t xml:space="preserve">The Wretched of the Earth</w:t>
      </w:r>
      <w:r w:rsidDel="00000000" w:rsidR="00000000" w:rsidRPr="00000000">
        <w:rPr>
          <w:rFonts w:ascii="Times New Roman" w:cs="Times New Roman" w:eastAsia="Times New Roman" w:hAnsi="Times New Roman"/>
          <w:rtl w:val="0"/>
        </w:rPr>
        <w:t xml:space="preserve">. New York: Grove. </w:t>
      </w:r>
      <w:hyperlink r:id="rId7">
        <w:r w:rsidDel="00000000" w:rsidR="00000000" w:rsidRPr="00000000">
          <w:rPr>
            <w:rFonts w:ascii="Times New Roman" w:cs="Times New Roman" w:eastAsia="Times New Roman" w:hAnsi="Times New Roman"/>
            <w:rtl w:val="0"/>
          </w:rPr>
          <w:t xml:space="preserve">https://monoskop.org/images/6/6b/Fanon_Frantz_The_Wretched_of_the_Earth_1963.pdf</w:t>
        </w:r>
      </w:hyperlink>
      <w:r w:rsidDel="00000000" w:rsidR="00000000" w:rsidRPr="00000000">
        <w:rPr>
          <w:rtl w:val="0"/>
        </w:rPr>
      </w:r>
    </w:p>
    <w:p w:rsidR="00000000" w:rsidDel="00000000" w:rsidP="00000000" w:rsidRDefault="00000000" w:rsidRPr="00000000" w14:paraId="00000048">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Feldman, Shelley, and Charles Geisler. 2012. “Land Expropriation and Displacement in Bangladesh.” </w:t>
      </w:r>
      <w:r w:rsidDel="00000000" w:rsidR="00000000" w:rsidRPr="00000000">
        <w:rPr>
          <w:rFonts w:ascii="Times New Roman" w:cs="Times New Roman" w:eastAsia="Times New Roman" w:hAnsi="Times New Roman"/>
          <w:i w:val="1"/>
          <w:iCs w:val="1"/>
          <w:rtl w:val="0"/>
        </w:rPr>
        <w:t xml:space="preserve">The Journal of Peasant Studies</w:t>
      </w:r>
      <w:r w:rsidDel="00000000" w:rsidR="00000000" w:rsidRPr="00000000">
        <w:rPr>
          <w:rFonts w:ascii="Times New Roman" w:cs="Times New Roman" w:eastAsia="Times New Roman" w:hAnsi="Times New Roman"/>
          <w:rtl w:val="0"/>
        </w:rPr>
        <w:t xml:space="preserve"> 39 (3-4): 971–93. https://doi.org/10.1080/03066150.2012.661719.</w:t>
      </w:r>
      <w:r w:rsidDel="00000000" w:rsidR="00000000" w:rsidRPr="00000000">
        <w:rPr>
          <w:rtl w:val="0"/>
        </w:rPr>
      </w:r>
    </w:p>
    <w:p w:rsidR="00000000" w:rsidDel="00000000" w:rsidP="00000000" w:rsidRDefault="00000000" w:rsidRPr="00000000" w14:paraId="00000049">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Gemenne, François. 2011. “Why the Numbers Don’t Add Up: A Review of Estimates and Predictions of People Displaced by Environmental Changes.” </w:t>
      </w:r>
      <w:r w:rsidDel="00000000" w:rsidR="00000000" w:rsidRPr="00000000">
        <w:rPr>
          <w:rFonts w:ascii="Times New Roman" w:cs="Times New Roman" w:eastAsia="Times New Roman" w:hAnsi="Times New Roman"/>
          <w:i w:val="1"/>
          <w:iCs w:val="1"/>
          <w:rtl w:val="0"/>
        </w:rPr>
        <w:t xml:space="preserve">Global Environmental Change</w:t>
      </w:r>
      <w:r w:rsidDel="00000000" w:rsidR="00000000" w:rsidRPr="00000000">
        <w:rPr>
          <w:rFonts w:ascii="Times New Roman" w:cs="Times New Roman" w:eastAsia="Times New Roman" w:hAnsi="Times New Roman"/>
          <w:rtl w:val="0"/>
        </w:rPr>
        <w:t xml:space="preserve"> 21 (1): S41–49. https://doi.org/10.1016/j.gloenvcha.2011.09.005.</w:t>
      </w:r>
    </w:p>
    <w:p w:rsidR="00000000" w:rsidDel="00000000" w:rsidP="00000000" w:rsidRDefault="00000000" w:rsidRPr="00000000" w14:paraId="0000004A">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Girinoto, Athiyyah Puja Khairunnisa . 2026. “Securitization and Nationalism in the Narrative of Rohingya Refugees in Bangladesh.” 2026.</w:t>
      </w:r>
    </w:p>
    <w:p w:rsidR="00000000" w:rsidDel="00000000" w:rsidP="00000000" w:rsidRDefault="00000000" w:rsidRPr="00000000" w14:paraId="0000004B">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Harun, Mohammad, Ashiqur Rahman, and Jannatul Ferdous. 2025. “Vulnerabilities of Climate Change-Induced Displacement and Migration in South Asia.” </w:t>
      </w:r>
      <w:r w:rsidDel="00000000" w:rsidR="00000000" w:rsidRPr="00000000">
        <w:rPr>
          <w:rFonts w:ascii="Times New Roman" w:cs="Times New Roman" w:eastAsia="Times New Roman" w:hAnsi="Times New Roman"/>
          <w:i w:val="1"/>
          <w:iCs w:val="1"/>
          <w:rtl w:val="0"/>
        </w:rPr>
        <w:t xml:space="preserve">Discover Global Society</w:t>
      </w:r>
      <w:r w:rsidDel="00000000" w:rsidR="00000000" w:rsidRPr="00000000">
        <w:rPr>
          <w:rFonts w:ascii="Times New Roman" w:cs="Times New Roman" w:eastAsia="Times New Roman" w:hAnsi="Times New Roman"/>
          <w:rtl w:val="0"/>
        </w:rPr>
        <w:t xml:space="preserve"> 3 (1). https://doi.org/10.1007/s44282-025-00237-x.</w:t>
      </w:r>
    </w:p>
    <w:p w:rsidR="00000000" w:rsidDel="00000000" w:rsidP="00000000" w:rsidRDefault="00000000" w:rsidRPr="00000000" w14:paraId="0000004C">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Hassan, M M Makfur , Ashraful Kabir Shafi, Swaron Alam, and Shah Shal. 2025. “Climate Finance in Bangladesh: Funding the Path to Resilience and Sustainable Development.” September 5, 2025. </w:t>
      </w:r>
      <w:hyperlink r:id="rId8">
        <w:r w:rsidDel="00000000" w:rsidR="00000000" w:rsidRPr="00000000">
          <w:rPr>
            <w:rFonts w:ascii="Times New Roman" w:cs="Times New Roman" w:eastAsia="Times New Roman" w:hAnsi="Times New Roman"/>
            <w:color w:val="1155cc"/>
            <w:u w:val="single"/>
            <w:rtl w:val="0"/>
          </w:rPr>
          <w:t xml:space="preserve">https://www.researchgate.net/publication/398573367_Climate_Finance_in_Bangladesh_Funding_the_Path_to_Resilience_and_Sustainable_Development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D">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Human Rights Watch. 2021. “‘An Island Jail in the Middle of the Sea.’” Human Rights Watch. June 7, 2021. https://www.hrw.org/report/2021/06/07/island-jail-middle-sea/bangladeshs-relocation-rohingya-refugees-bhasan-char.</w:t>
      </w:r>
      <w:r w:rsidDel="00000000" w:rsidR="00000000" w:rsidRPr="00000000">
        <w:rPr>
          <w:rtl w:val="0"/>
        </w:rPr>
      </w:r>
    </w:p>
    <w:p w:rsidR="00000000" w:rsidDel="00000000" w:rsidP="00000000" w:rsidRDefault="00000000" w:rsidRPr="00000000" w14:paraId="0000004E">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Jazeera, Muhmad. 2026. “Can Bangladesh Ease Dollar Dependency without Risking Stability?” The Daily Star. 2026. https://www.thedailystar.net/opinion/views/news/can-bangladesh-ease-dollar-dependency-without-risking-stability-4168571.</w:t>
      </w:r>
    </w:p>
    <w:p w:rsidR="00000000" w:rsidDel="00000000" w:rsidP="00000000" w:rsidRDefault="00000000" w:rsidRPr="00000000" w14:paraId="0000004F">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Johnson, Chalmers. 1982. “MITI and the Japanese Miracle: The Growth of Industrial Policy, 1925-1975.” </w:t>
      </w:r>
      <w:r w:rsidDel="00000000" w:rsidR="00000000" w:rsidRPr="00000000">
        <w:rPr>
          <w:rFonts w:ascii="Times New Roman" w:cs="Times New Roman" w:eastAsia="Times New Roman" w:hAnsi="Times New Roman"/>
          <w:i w:val="1"/>
          <w:iCs w:val="1"/>
          <w:rtl w:val="0"/>
        </w:rPr>
        <w:t xml:space="preserve">Foreign Affairs</w:t>
      </w:r>
      <w:r w:rsidDel="00000000" w:rsidR="00000000" w:rsidRPr="00000000">
        <w:rPr>
          <w:rFonts w:ascii="Times New Roman" w:cs="Times New Roman" w:eastAsia="Times New Roman" w:hAnsi="Times New Roman"/>
          <w:rtl w:val="0"/>
        </w:rPr>
        <w:t xml:space="preserve"> 60 (5): 1203. https://doi.org/10.2307/20041333.</w:t>
      </w:r>
    </w:p>
    <w:p w:rsidR="00000000" w:rsidDel="00000000" w:rsidP="00000000" w:rsidRDefault="00000000" w:rsidRPr="00000000" w14:paraId="00000050">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Jorgenson, Andrew K., and Brett Clark. 2009. “The Economy, Military, and Ecologically Unequal Exchange Relationships in Comparative Perspective: A Panel Study of the Ecological Footprints of Nations, 1975–2000.” </w:t>
      </w:r>
      <w:r w:rsidDel="00000000" w:rsidR="00000000" w:rsidRPr="00000000">
        <w:rPr>
          <w:rFonts w:ascii="Times New Roman" w:cs="Times New Roman" w:eastAsia="Times New Roman" w:hAnsi="Times New Roman"/>
          <w:i w:val="1"/>
          <w:iCs w:val="1"/>
          <w:rtl w:val="0"/>
        </w:rPr>
        <w:t xml:space="preserve">Social Problems</w:t>
      </w:r>
      <w:r w:rsidDel="00000000" w:rsidR="00000000" w:rsidRPr="00000000">
        <w:rPr>
          <w:rFonts w:ascii="Times New Roman" w:cs="Times New Roman" w:eastAsia="Times New Roman" w:hAnsi="Times New Roman"/>
          <w:rtl w:val="0"/>
        </w:rPr>
        <w:t xml:space="preserve"> 56 (4): 621–46. </w:t>
      </w:r>
      <w:hyperlink r:id="rId9">
        <w:r w:rsidDel="00000000" w:rsidR="00000000" w:rsidRPr="00000000">
          <w:rPr>
            <w:rFonts w:ascii="Times New Roman" w:cs="Times New Roman" w:eastAsia="Times New Roman" w:hAnsi="Times New Roman"/>
            <w:color w:val="1155cc"/>
            <w:u w:val="single"/>
            <w:rtl w:val="0"/>
          </w:rPr>
          <w:t xml:space="preserve">https://doi.org/10.1525/sp.2009.56.4.621</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1">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Mayer, B. 2014. “Survival Migration: Failed Governance and the Crisis of Displacement. By Alexander Betts.” </w:t>
      </w:r>
      <w:r w:rsidDel="00000000" w:rsidR="00000000" w:rsidRPr="00000000">
        <w:rPr>
          <w:rFonts w:ascii="Times New Roman" w:cs="Times New Roman" w:eastAsia="Times New Roman" w:hAnsi="Times New Roman"/>
          <w:i w:val="1"/>
          <w:iCs w:val="1"/>
          <w:highlight w:val="white"/>
          <w:rtl w:val="0"/>
        </w:rPr>
        <w:t xml:space="preserve">Journal of Refugee Studies</w:t>
      </w:r>
      <w:r w:rsidDel="00000000" w:rsidR="00000000" w:rsidRPr="00000000">
        <w:rPr>
          <w:rFonts w:ascii="Times New Roman" w:cs="Times New Roman" w:eastAsia="Times New Roman" w:hAnsi="Times New Roman"/>
          <w:highlight w:val="white"/>
          <w:rtl w:val="0"/>
        </w:rPr>
        <w:t xml:space="preserve"> 27 (2): 301–2. https://doi.org/10.1093/jrs/feu014.</w:t>
      </w:r>
      <w:r w:rsidDel="00000000" w:rsidR="00000000" w:rsidRPr="00000000">
        <w:rPr>
          <w:rtl w:val="0"/>
        </w:rPr>
      </w:r>
    </w:p>
    <w:p w:rsidR="00000000" w:rsidDel="00000000" w:rsidP="00000000" w:rsidRDefault="00000000" w:rsidRPr="00000000" w14:paraId="00000052">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McMichael, Celia, Jon Barnett, and Anthony J. McMichael. 2012. “An Ill Wind? Climate Change, Migration, and Health.” </w:t>
      </w:r>
      <w:r w:rsidDel="00000000" w:rsidR="00000000" w:rsidRPr="00000000">
        <w:rPr>
          <w:rFonts w:ascii="Times New Roman" w:cs="Times New Roman" w:eastAsia="Times New Roman" w:hAnsi="Times New Roman"/>
          <w:i w:val="1"/>
          <w:iCs w:val="1"/>
          <w:rtl w:val="0"/>
        </w:rPr>
        <w:t xml:space="preserve">Environmental Health Perspectives</w:t>
      </w:r>
      <w:r w:rsidDel="00000000" w:rsidR="00000000" w:rsidRPr="00000000">
        <w:rPr>
          <w:rFonts w:ascii="Times New Roman" w:cs="Times New Roman" w:eastAsia="Times New Roman" w:hAnsi="Times New Roman"/>
          <w:rtl w:val="0"/>
        </w:rPr>
        <w:t xml:space="preserve"> 120 (5): 646–54. </w:t>
      </w:r>
      <w:hyperlink r:id="rId10">
        <w:r w:rsidDel="00000000" w:rsidR="00000000" w:rsidRPr="00000000">
          <w:rPr>
            <w:rFonts w:ascii="Times New Roman" w:cs="Times New Roman" w:eastAsia="Times New Roman" w:hAnsi="Times New Roman"/>
            <w:rtl w:val="0"/>
          </w:rPr>
          <w:t xml:space="preserve">https://doi.org/10.1289/ehp.1104375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Migration Policy Institute. 2023. “Efforts to Manage Climate Migration Are Slowly Growing, but Their Focus Is Often Indirect.” Migrationpolicy.org. February 28, 2023.</w:t>
      </w:r>
      <w:r w:rsidDel="00000000" w:rsidR="00000000" w:rsidRPr="00000000">
        <w:rPr>
          <w:rtl w:val="0"/>
        </w:rPr>
      </w:r>
    </w:p>
    <w:p w:rsidR="00000000" w:rsidDel="00000000" w:rsidP="00000000" w:rsidRDefault="00000000" w:rsidRPr="00000000" w14:paraId="00000054">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Muhmad, Islam . 2025. “Disaster and Climate-Induced Migration in Bangladesh: A Potential Threat to Human Security | Harvard Humanitarian Initiative.” Harvard.edu. September 22, 2025. https://hhi.harvard.edu/news/2025/09/disaster-and-climate-induced-migration-bangladesh-potential-threat-human-security.</w:t>
      </w:r>
      <w:r w:rsidDel="00000000" w:rsidR="00000000" w:rsidRPr="00000000">
        <w:rPr>
          <w:rtl w:val="0"/>
        </w:rPr>
      </w:r>
    </w:p>
    <w:p w:rsidR="00000000" w:rsidDel="00000000" w:rsidP="00000000" w:rsidRDefault="00000000" w:rsidRPr="00000000" w14:paraId="00000055">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TRACE. 2026a. “Climate TRACE Releases January 2026 Emissions Data.” Climate TRACE. 2026. https://climatetrace.org/news/climate-trace-releases-january-2026-emissions-data.</w:t>
      </w:r>
    </w:p>
    <w:p w:rsidR="00000000" w:rsidDel="00000000" w:rsidP="00000000" w:rsidRDefault="00000000" w:rsidRPr="00000000" w14:paraId="00000056">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NASER, Mostafa Mahmud. 2014. “Climate Change and Migration: Law and Policy Perspectives in Bangladesh.” </w:t>
      </w:r>
      <w:r w:rsidDel="00000000" w:rsidR="00000000" w:rsidRPr="00000000">
        <w:rPr>
          <w:rFonts w:ascii="Times New Roman" w:cs="Times New Roman" w:eastAsia="Times New Roman" w:hAnsi="Times New Roman"/>
          <w:i w:val="1"/>
          <w:iCs w:val="1"/>
          <w:rtl w:val="0"/>
        </w:rPr>
        <w:t xml:space="preserve">Asian Journal of Law and Society</w:t>
      </w:r>
      <w:r w:rsidDel="00000000" w:rsidR="00000000" w:rsidRPr="00000000">
        <w:rPr>
          <w:rFonts w:ascii="Times New Roman" w:cs="Times New Roman" w:eastAsia="Times New Roman" w:hAnsi="Times New Roman"/>
          <w:rtl w:val="0"/>
        </w:rPr>
        <w:t xml:space="preserve"> 2 (1): 35–53. https://doi.org/10.1017/als.2014.7.</w:t>
      </w:r>
    </w:p>
    <w:p w:rsidR="00000000" w:rsidDel="00000000" w:rsidP="00000000" w:rsidRDefault="00000000" w:rsidRPr="00000000" w14:paraId="00000057">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Nicholson, Judith A., and Mimi Sheller. 2016. “Race and the Politics of Mobility—Introduction.” </w:t>
      </w:r>
      <w:r w:rsidDel="00000000" w:rsidR="00000000" w:rsidRPr="00000000">
        <w:rPr>
          <w:rFonts w:ascii="Times New Roman" w:cs="Times New Roman" w:eastAsia="Times New Roman" w:hAnsi="Times New Roman"/>
          <w:i w:val="1"/>
          <w:iCs w:val="1"/>
          <w:rtl w:val="0"/>
        </w:rPr>
        <w:t xml:space="preserve">Transfers</w:t>
      </w:r>
      <w:r w:rsidDel="00000000" w:rsidR="00000000" w:rsidRPr="00000000">
        <w:rPr>
          <w:rFonts w:ascii="Times New Roman" w:cs="Times New Roman" w:eastAsia="Times New Roman" w:hAnsi="Times New Roman"/>
          <w:rtl w:val="0"/>
        </w:rPr>
        <w:t xml:space="preserve"> 6 (1). https://doi.org/10.3167/trans.2016.060102.</w:t>
      </w:r>
    </w:p>
    <w:p w:rsidR="00000000" w:rsidDel="00000000" w:rsidP="00000000" w:rsidRDefault="00000000" w:rsidRPr="00000000" w14:paraId="00000058">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O’Brien, Karen L, and Robin M Leichenko. 2000. “Double Exposure: Assessing the Impacts of Climate Change within the Context of Economic Globalization.” </w:t>
      </w:r>
      <w:r w:rsidDel="00000000" w:rsidR="00000000" w:rsidRPr="00000000">
        <w:rPr>
          <w:rFonts w:ascii="Times New Roman" w:cs="Times New Roman" w:eastAsia="Times New Roman" w:hAnsi="Times New Roman"/>
          <w:i w:val="1"/>
          <w:iCs w:val="1"/>
          <w:rtl w:val="0"/>
        </w:rPr>
        <w:t xml:space="preserve">Global Environmental Change</w:t>
      </w:r>
      <w:r w:rsidDel="00000000" w:rsidR="00000000" w:rsidRPr="00000000">
        <w:rPr>
          <w:rFonts w:ascii="Times New Roman" w:cs="Times New Roman" w:eastAsia="Times New Roman" w:hAnsi="Times New Roman"/>
          <w:rtl w:val="0"/>
        </w:rPr>
        <w:t xml:space="preserve"> 10 (3): 221–32. https://doi.org/10.1016/s0959-3780(00)00021-2.</w:t>
      </w:r>
    </w:p>
    <w:p w:rsidR="00000000" w:rsidDel="00000000" w:rsidP="00000000" w:rsidRDefault="00000000" w:rsidRPr="00000000" w14:paraId="00000059">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Okereke, Chukwumerije. 2010. “Climate Justice and the International Regime.” </w:t>
      </w:r>
      <w:r w:rsidDel="00000000" w:rsidR="00000000" w:rsidRPr="00000000">
        <w:rPr>
          <w:rFonts w:ascii="Times New Roman" w:cs="Times New Roman" w:eastAsia="Times New Roman" w:hAnsi="Times New Roman"/>
          <w:i w:val="1"/>
          <w:iCs w:val="1"/>
          <w:rtl w:val="0"/>
        </w:rPr>
        <w:t xml:space="preserve">Wiley Interdisciplinary Reviews: Climate Change</w:t>
      </w:r>
      <w:r w:rsidDel="00000000" w:rsidR="00000000" w:rsidRPr="00000000">
        <w:rPr>
          <w:rFonts w:ascii="Times New Roman" w:cs="Times New Roman" w:eastAsia="Times New Roman" w:hAnsi="Times New Roman"/>
          <w:rtl w:val="0"/>
        </w:rPr>
        <w:t xml:space="preserve"> 1 (3): 462–74. https://doi.org/10.1002/wcc.52.</w:t>
      </w:r>
    </w:p>
    <w:p w:rsidR="00000000" w:rsidDel="00000000" w:rsidP="00000000" w:rsidRDefault="00000000" w:rsidRPr="00000000" w14:paraId="0000005A">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Rahman, Md. Ashiqur. 2018. “Governance Matters: Climate Change, Corruption, and Livelihoods in Bangladesh.” </w:t>
      </w:r>
      <w:r w:rsidDel="00000000" w:rsidR="00000000" w:rsidRPr="00000000">
        <w:rPr>
          <w:rFonts w:ascii="Times New Roman" w:cs="Times New Roman" w:eastAsia="Times New Roman" w:hAnsi="Times New Roman"/>
          <w:i w:val="1"/>
          <w:iCs w:val="1"/>
          <w:rtl w:val="0"/>
        </w:rPr>
        <w:t xml:space="preserve">Climatic Change</w:t>
      </w:r>
      <w:r w:rsidDel="00000000" w:rsidR="00000000" w:rsidRPr="00000000">
        <w:rPr>
          <w:rFonts w:ascii="Times New Roman" w:cs="Times New Roman" w:eastAsia="Times New Roman" w:hAnsi="Times New Roman"/>
          <w:rtl w:val="0"/>
        </w:rPr>
        <w:t xml:space="preserve"> 147 (1-2): 313–26. </w:t>
      </w:r>
      <w:hyperlink r:id="rId11">
        <w:r w:rsidDel="00000000" w:rsidR="00000000" w:rsidRPr="00000000">
          <w:rPr>
            <w:rFonts w:ascii="Times New Roman" w:cs="Times New Roman" w:eastAsia="Times New Roman" w:hAnsi="Times New Roman"/>
            <w:color w:val="1155cc"/>
            <w:u w:val="single"/>
            <w:rtl w:val="0"/>
          </w:rPr>
          <w:t xml:space="preserve">https://doi.org/10.1007/s10584-018-2139-9</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B">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RAJAMANI, LAVANYA. 2012. “The Changing Fortunes of Differential Treatment in the Evolution of International Environmental Law.” </w:t>
      </w:r>
      <w:r w:rsidDel="00000000" w:rsidR="00000000" w:rsidRPr="00000000">
        <w:rPr>
          <w:rFonts w:ascii="Times New Roman" w:cs="Times New Roman" w:eastAsia="Times New Roman" w:hAnsi="Times New Roman"/>
          <w:i w:val="1"/>
          <w:iCs w:val="1"/>
          <w:highlight w:val="white"/>
          <w:rtl w:val="0"/>
        </w:rPr>
        <w:t xml:space="preserve">International Affairs</w:t>
      </w:r>
      <w:r w:rsidDel="00000000" w:rsidR="00000000" w:rsidRPr="00000000">
        <w:rPr>
          <w:rFonts w:ascii="Times New Roman" w:cs="Times New Roman" w:eastAsia="Times New Roman" w:hAnsi="Times New Roman"/>
          <w:highlight w:val="white"/>
          <w:rtl w:val="0"/>
        </w:rPr>
        <w:t xml:space="preserve"> 88 (3): 605–23. https://doi.org/10.1111/j.1468-2346.2012.01091.x.</w:t>
      </w:r>
      <w:r w:rsidDel="00000000" w:rsidR="00000000" w:rsidRPr="00000000">
        <w:rPr>
          <w:rtl w:val="0"/>
        </w:rPr>
      </w:r>
    </w:p>
    <w:p w:rsidR="00000000" w:rsidDel="00000000" w:rsidP="00000000" w:rsidRDefault="00000000" w:rsidRPr="00000000" w14:paraId="0000005C">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Rojas, Diego. 2025. “How the Climate Crisis Is Impacting Bangladesh.” The Climate Reality Project. 2025. https://www.climaterealityproject.org/blog/how-climate-crisis-impacting-bangladesh.</w:t>
      </w:r>
    </w:p>
    <w:p w:rsidR="00000000" w:rsidDel="00000000" w:rsidP="00000000" w:rsidRDefault="00000000" w:rsidRPr="00000000" w14:paraId="0000005D">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Seddiky, Assraf, Esmat Ara, and Afsarul Karim. 2024. “Climate Change-Induced Hazard Risks and Migration in Bangladesh: A Case Study.” </w:t>
      </w:r>
      <w:r w:rsidDel="00000000" w:rsidR="00000000" w:rsidRPr="00000000">
        <w:rPr>
          <w:rFonts w:ascii="Times New Roman" w:cs="Times New Roman" w:eastAsia="Times New Roman" w:hAnsi="Times New Roman"/>
          <w:i w:val="1"/>
          <w:iCs w:val="1"/>
          <w:rtl w:val="0"/>
        </w:rPr>
        <w:t xml:space="preserve">Current Research in Environmental Sustainability</w:t>
      </w:r>
      <w:r w:rsidDel="00000000" w:rsidR="00000000" w:rsidRPr="00000000">
        <w:rPr>
          <w:rFonts w:ascii="Times New Roman" w:cs="Times New Roman" w:eastAsia="Times New Roman" w:hAnsi="Times New Roman"/>
          <w:rtl w:val="0"/>
        </w:rPr>
        <w:t xml:space="preserve"> 7 (29385854): 100253. https://doi.org/10.1016/j.crsust.2024.100253.</w:t>
      </w:r>
    </w:p>
    <w:p w:rsidR="00000000" w:rsidDel="00000000" w:rsidP="00000000" w:rsidRDefault="00000000" w:rsidRPr="00000000" w14:paraId="0000005E">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Sim-Sarka, Kenna. 2025. “Contesting Crisis Narratives amidst Climatic Breakdown: Climate Change, Mobility, and State-Centric Approaches to Migration.” </w:t>
      </w:r>
      <w:r w:rsidDel="00000000" w:rsidR="00000000" w:rsidRPr="00000000">
        <w:rPr>
          <w:rFonts w:ascii="Times New Roman" w:cs="Times New Roman" w:eastAsia="Times New Roman" w:hAnsi="Times New Roman"/>
          <w:i w:val="1"/>
          <w:iCs w:val="1"/>
          <w:rtl w:val="0"/>
        </w:rPr>
        <w:t xml:space="preserve">Frontiers in Sociology</w:t>
      </w:r>
      <w:r w:rsidDel="00000000" w:rsidR="00000000" w:rsidRPr="00000000">
        <w:rPr>
          <w:rFonts w:ascii="Times New Roman" w:cs="Times New Roman" w:eastAsia="Times New Roman" w:hAnsi="Times New Roman"/>
          <w:rtl w:val="0"/>
        </w:rPr>
        <w:t xml:space="preserve"> 9 (12345566). https://doi.org/10.3389/fsoc.2024.1411683.</w:t>
      </w:r>
    </w:p>
    <w:p w:rsidR="00000000" w:rsidDel="00000000" w:rsidP="00000000" w:rsidRDefault="00000000" w:rsidRPr="00000000" w14:paraId="0000005F">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Won. 2026. “Climate Migrant Outlook Worldwide by Region 2050.” Statista. January 20, 2026. https://www.statista.com/statistics/1274740/climate-migration-worldwide-region-scenario/.</w:t>
      </w:r>
    </w:p>
    <w:p w:rsidR="00000000" w:rsidDel="00000000" w:rsidP="00000000" w:rsidRDefault="00000000" w:rsidRPr="00000000" w14:paraId="00000060">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Overshoot. 2024. “Overshoot: The World Is Hitting Point of No Return on Climate.” Yale E360. 2024. https://e360.yale.edu/features/1.5-degrees-tipping-points.</w:t>
      </w:r>
    </w:p>
    <w:p w:rsidR="00000000" w:rsidDel="00000000" w:rsidP="00000000" w:rsidRDefault="00000000" w:rsidRPr="00000000" w14:paraId="00000061">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Timmons Roberts, J., and Bradley C. Parks. 2007. “Fueling Injustice: Globalization, Ecologically Unequal Exchange and Climate Change.” </w:t>
      </w:r>
      <w:r w:rsidDel="00000000" w:rsidR="00000000" w:rsidRPr="00000000">
        <w:rPr>
          <w:rFonts w:ascii="Times New Roman" w:cs="Times New Roman" w:eastAsia="Times New Roman" w:hAnsi="Times New Roman"/>
          <w:i w:val="1"/>
          <w:iCs w:val="1"/>
          <w:rtl w:val="0"/>
        </w:rPr>
        <w:t xml:space="preserve">Globalizations</w:t>
      </w:r>
      <w:r w:rsidDel="00000000" w:rsidR="00000000" w:rsidRPr="00000000">
        <w:rPr>
          <w:rFonts w:ascii="Times New Roman" w:cs="Times New Roman" w:eastAsia="Times New Roman" w:hAnsi="Times New Roman"/>
          <w:rtl w:val="0"/>
        </w:rPr>
        <w:t xml:space="preserve"> 4 (2): 193–210. https://doi.org/10.1080/14747730701345218.</w:t>
      </w:r>
    </w:p>
    <w:p w:rsidR="00000000" w:rsidDel="00000000" w:rsidP="00000000" w:rsidRDefault="00000000" w:rsidRPr="00000000" w14:paraId="00000062">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Wallerstein, Immanuel. 1961. “World-Systems Analysis.” </w:t>
      </w:r>
      <w:r w:rsidDel="00000000" w:rsidR="00000000" w:rsidRPr="00000000">
        <w:rPr>
          <w:rFonts w:ascii="Times New Roman" w:cs="Times New Roman" w:eastAsia="Times New Roman" w:hAnsi="Times New Roman"/>
          <w:i w:val="1"/>
          <w:iCs w:val="1"/>
          <w:rtl w:val="0"/>
        </w:rPr>
        <w:t xml:space="preserve">Sociopedia</w:t>
      </w:r>
      <w:r w:rsidDel="00000000" w:rsidR="00000000" w:rsidRPr="00000000">
        <w:rPr>
          <w:rFonts w:ascii="Times New Roman" w:cs="Times New Roman" w:eastAsia="Times New Roman" w:hAnsi="Times New Roman"/>
          <w:rtl w:val="0"/>
        </w:rPr>
        <w:t xml:space="preserve">. https://doi.org/10.1177/2056846013114.</w:t>
      </w:r>
    </w:p>
    <w:p w:rsidR="00000000" w:rsidDel="00000000" w:rsidP="00000000" w:rsidRDefault="00000000" w:rsidRPr="00000000" w14:paraId="00000063">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Relief Web, 2023 “Who Counts as a Climate Migrant? - World | ReliefWeb.” 2023. Reliefweb.int. July 20, 2023. https://reliefweb.int/report/world/who-counts-climate-migrant.</w:t>
      </w:r>
    </w:p>
    <w:p w:rsidR="00000000" w:rsidDel="00000000" w:rsidP="00000000" w:rsidRDefault="00000000" w:rsidRPr="00000000" w14:paraId="00000064">
      <w:p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Group. 2024. “BANGLADESH CLIMATE RISK COUNTRY PROFILE.” https://climateknowledgeportal.worldbank.org/sites/default/files/country-profiles/16813-WB_Bangladesh%20Country%20Profile-WEB.pdf.</w:t>
      </w:r>
    </w:p>
    <w:p w:rsidR="00000000" w:rsidDel="00000000" w:rsidP="00000000" w:rsidRDefault="00000000" w:rsidRPr="00000000" w14:paraId="00000065">
      <w:pPr>
        <w:spacing w:after="200" w:before="200" w:line="360" w:lineRule="auto"/>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07/s10584-018-2139-9" TargetMode="External"/><Relationship Id="rId10" Type="http://schemas.openxmlformats.org/officeDocument/2006/relationships/hyperlink" Target="https://doi.org/10.1289/ehp.1104375" TargetMode="External"/><Relationship Id="rId9" Type="http://schemas.openxmlformats.org/officeDocument/2006/relationships/hyperlink" Target="https://doi.org/10.1525/sp.2009.56.4.621" TargetMode="External"/><Relationship Id="rId5" Type="http://schemas.openxmlformats.org/officeDocument/2006/relationships/styles" Target="styles.xml"/><Relationship Id="rId6" Type="http://schemas.openxmlformats.org/officeDocument/2006/relationships/hyperlink" Target="https://doi.org/10.1177/03058298810100020501" TargetMode="External"/><Relationship Id="rId7" Type="http://schemas.openxmlformats.org/officeDocument/2006/relationships/hyperlink" Target="https://monoskop.org/images/6/6b/Fanon_Frantz_The_Wretched_of_the_Earth_1963.pdf" TargetMode="External"/><Relationship Id="rId8" Type="http://schemas.openxmlformats.org/officeDocument/2006/relationships/hyperlink" Target="https://www.researchgate.net/publication/398573367_Climate_Finance_in_Bangladesh_Funding_the_Path_to_Resilience_and_Sustainable_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